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w:t>
      </w:r>
      <w:r w:rsidR="00BE765E">
        <w:rPr>
          <w:rFonts w:ascii="Arial" w:hAnsi="Arial" w:cs="Arial"/>
          <w:b/>
          <w:bCs/>
          <w:lang w:val="en-GB"/>
        </w:rPr>
        <w:t>3</w:t>
      </w:r>
      <w:r w:rsidR="00CE4A81">
        <w:rPr>
          <w:rFonts w:ascii="Arial" w:hAnsi="Arial" w:cs="Arial"/>
          <w:b/>
          <w:bCs/>
          <w:lang w:val="en-GB"/>
        </w:rPr>
        <w:t>-bis</w:t>
      </w:r>
      <w:r w:rsidRPr="00BD722C">
        <w:rPr>
          <w:rFonts w:ascii="Arial" w:hAnsi="Arial" w:cs="Arial"/>
          <w:b/>
          <w:bCs/>
          <w:lang w:val="en-GB"/>
        </w:rPr>
        <w:t xml:space="preserve">                                       </w:t>
      </w:r>
      <w:r w:rsidRPr="00BD722C">
        <w:rPr>
          <w:rFonts w:ascii="Arial" w:hAnsi="Arial" w:cs="Arial"/>
          <w:b/>
          <w:bCs/>
          <w:lang w:val="en-GB"/>
        </w:rPr>
        <w:tab/>
      </w:r>
      <w:r w:rsidR="00F53939" w:rsidRPr="00F53939">
        <w:rPr>
          <w:rFonts w:ascii="Arial" w:hAnsi="Arial" w:cs="Arial"/>
          <w:b/>
          <w:bCs/>
          <w:lang w:val="en-GB"/>
        </w:rPr>
        <w:t>R2-18</w:t>
      </w:r>
      <w:r w:rsidR="001228EB">
        <w:rPr>
          <w:rFonts w:ascii="Arial" w:hAnsi="Arial" w:cs="Arial"/>
          <w:b/>
          <w:bCs/>
          <w:lang w:val="en-GB"/>
        </w:rPr>
        <w:t>14836</w:t>
      </w:r>
      <w:bookmarkStart w:id="0" w:name="_GoBack"/>
      <w:bookmarkEnd w:id="0"/>
    </w:p>
    <w:p w:rsidR="00F83230" w:rsidRPr="00BD722C" w:rsidRDefault="00CE4A81"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eastAsia="zh-CN"/>
        </w:rPr>
        <w:t>Chengdu</w:t>
      </w:r>
      <w:r w:rsidR="00BE765E">
        <w:rPr>
          <w:rFonts w:ascii="Arial" w:hAnsi="Arial" w:cs="Arial"/>
          <w:b/>
          <w:bCs/>
          <w:lang w:val="en-GB" w:eastAsia="zh-CN"/>
        </w:rPr>
        <w:t xml:space="preserve">, </w:t>
      </w:r>
      <w:r>
        <w:rPr>
          <w:rFonts w:ascii="Arial" w:hAnsi="Arial" w:cs="Arial"/>
          <w:b/>
          <w:bCs/>
          <w:lang w:val="en-GB" w:eastAsia="zh-CN"/>
        </w:rPr>
        <w:t>China</w:t>
      </w:r>
      <w:r w:rsidR="00BE765E">
        <w:rPr>
          <w:rFonts w:ascii="Arial" w:hAnsi="Arial" w:cs="Arial"/>
          <w:b/>
          <w:bCs/>
          <w:lang w:val="en-GB" w:eastAsia="zh-CN"/>
        </w:rPr>
        <w:t xml:space="preserve">, </w:t>
      </w:r>
      <w:r>
        <w:rPr>
          <w:rFonts w:ascii="Arial" w:hAnsi="Arial" w:cs="Arial"/>
          <w:b/>
          <w:bCs/>
          <w:lang w:val="en-GB" w:eastAsia="zh-CN"/>
        </w:rPr>
        <w:t>8</w:t>
      </w:r>
      <w:r w:rsidR="0051520E" w:rsidRPr="00CE4A81">
        <w:rPr>
          <w:rFonts w:ascii="Arial" w:hAnsi="Arial" w:cs="Arial"/>
          <w:b/>
          <w:bCs/>
          <w:vertAlign w:val="superscript"/>
          <w:lang w:val="en-GB" w:eastAsia="zh-CN"/>
        </w:rPr>
        <w:t>th</w:t>
      </w:r>
      <w:r>
        <w:rPr>
          <w:rFonts w:ascii="Arial" w:hAnsi="Arial" w:cs="Arial"/>
          <w:b/>
          <w:bCs/>
          <w:lang w:val="en-GB" w:eastAsia="zh-CN"/>
        </w:rPr>
        <w:t xml:space="preserve"> </w:t>
      </w:r>
      <w:r w:rsidR="00BE765E">
        <w:rPr>
          <w:rFonts w:ascii="Arial" w:hAnsi="Arial" w:cs="Arial"/>
          <w:b/>
          <w:bCs/>
          <w:lang w:val="en-GB" w:eastAsia="zh-CN"/>
        </w:rPr>
        <w:t xml:space="preserve">– </w:t>
      </w:r>
      <w:r>
        <w:rPr>
          <w:rFonts w:ascii="Arial" w:hAnsi="Arial" w:cs="Arial"/>
          <w:b/>
          <w:bCs/>
          <w:lang w:val="en-GB" w:eastAsia="zh-CN"/>
        </w:rPr>
        <w:t>1</w:t>
      </w:r>
      <w:r w:rsidR="00BE765E">
        <w:rPr>
          <w:rFonts w:ascii="Arial" w:hAnsi="Arial" w:cs="Arial"/>
          <w:b/>
          <w:bCs/>
          <w:lang w:val="en-GB" w:eastAsia="zh-CN"/>
        </w:rPr>
        <w:t>2</w:t>
      </w:r>
      <w:r w:rsidR="00BE765E" w:rsidRPr="00CE4A81">
        <w:rPr>
          <w:rFonts w:ascii="Arial" w:hAnsi="Arial" w:cs="Arial"/>
          <w:b/>
          <w:bCs/>
          <w:vertAlign w:val="superscript"/>
          <w:lang w:val="en-GB" w:eastAsia="zh-CN"/>
        </w:rPr>
        <w:t>th</w:t>
      </w:r>
      <w:r>
        <w:rPr>
          <w:rFonts w:ascii="Arial" w:hAnsi="Arial" w:cs="Arial"/>
          <w:b/>
          <w:bCs/>
          <w:lang w:val="en-GB" w:eastAsia="zh-CN"/>
        </w:rPr>
        <w:t xml:space="preserve"> October </w:t>
      </w:r>
      <w:r w:rsidR="0051520E" w:rsidRPr="0051520E">
        <w:rPr>
          <w:rFonts w:ascii="Arial" w:hAnsi="Arial" w:cs="Arial"/>
          <w:b/>
          <w:bCs/>
          <w:lang w:val="en-GB" w:eastAsia="zh-CN"/>
        </w:rPr>
        <w:t>2018</w:t>
      </w:r>
      <w:r w:rsidR="0051520E">
        <w:rPr>
          <w:rFonts w:ascii="Arial" w:hAnsi="Arial" w:cs="Arial"/>
          <w:b/>
          <w:bCs/>
          <w:lang w:val="en-GB" w:eastAsia="zh-CN"/>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BE765E">
        <w:rPr>
          <w:rFonts w:ascii="Arial" w:hAnsi="Arial" w:cs="Arial"/>
          <w:b/>
          <w:bCs/>
          <w:szCs w:val="20"/>
          <w:lang w:val="en-GB" w:eastAsia="zh-CN"/>
        </w:rPr>
        <w:t>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D40CB">
        <w:rPr>
          <w:rFonts w:ascii="Arial" w:hAnsi="Arial" w:cs="Arial"/>
          <w:b/>
          <w:bCs/>
          <w:szCs w:val="20"/>
          <w:lang w:val="en-GB" w:eastAsia="zh-CN"/>
        </w:rPr>
        <w:t xml:space="preserve">Diversity in </w:t>
      </w:r>
      <w:r w:rsidR="00663C14">
        <w:rPr>
          <w:rFonts w:ascii="Arial" w:hAnsi="Arial" w:cs="Arial"/>
          <w:b/>
          <w:bCs/>
          <w:szCs w:val="20"/>
          <w:lang w:val="en-GB" w:eastAsia="zh-CN"/>
        </w:rPr>
        <w:t xml:space="preserve">RACH </w:t>
      </w:r>
      <w:r w:rsidR="00DD40CB">
        <w:rPr>
          <w:rFonts w:ascii="Arial" w:hAnsi="Arial" w:cs="Arial"/>
          <w:b/>
          <w:bCs/>
          <w:szCs w:val="20"/>
          <w:lang w:val="en-GB" w:eastAsia="zh-CN"/>
        </w:rPr>
        <w:t>transmissions</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3F3A48">
        <w:rPr>
          <w:lang w:val="en-GB" w:eastAsia="zh-CN"/>
        </w:rPr>
        <w:t>d</w:t>
      </w:r>
      <w:r w:rsidR="003F3A48" w:rsidRPr="003F3A48">
        <w:rPr>
          <w:lang w:val="en-GB" w:eastAsia="zh-CN"/>
        </w:rPr>
        <w:t>iversity in RACH transmissions</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BB152E" w:rsidRDefault="00904938" w:rsidP="00BB152E">
      <w:pPr>
        <w:pStyle w:val="Heading1"/>
        <w:rPr>
          <w:lang w:val="en-GB"/>
        </w:rPr>
      </w:pPr>
      <w:r>
        <w:rPr>
          <w:lang w:val="en-GB"/>
        </w:rPr>
        <w:t xml:space="preserve">Contention based </w:t>
      </w:r>
      <w:r w:rsidRPr="00904938">
        <w:rPr>
          <w:lang w:val="en-GB"/>
        </w:rPr>
        <w:t>Random Access</w:t>
      </w:r>
      <w:r>
        <w:rPr>
          <w:lang w:val="en-GB"/>
        </w:rPr>
        <w:t xml:space="preserve">: </w:t>
      </w:r>
    </w:p>
    <w:p w:rsidR="00BB152E" w:rsidRDefault="00BB152E" w:rsidP="00BB152E">
      <w:pPr>
        <w:pStyle w:val="Heading2"/>
        <w:rPr>
          <w:lang w:val="en-GB"/>
        </w:rPr>
      </w:pPr>
      <w:r>
        <w:rPr>
          <w:lang w:val="en-GB"/>
        </w:rPr>
        <w:t>Msg1</w:t>
      </w:r>
    </w:p>
    <w:p w:rsidR="00904938" w:rsidRDefault="00904938" w:rsidP="00904938">
      <w:pPr>
        <w:rPr>
          <w:lang w:val="en-GB"/>
        </w:rPr>
      </w:pPr>
      <w:r w:rsidRPr="00904938">
        <w:rPr>
          <w:lang w:val="en-GB"/>
        </w:rPr>
        <w:t>In Standalone NR-U case, the UE may need to perform CBRA e.g. to ask for UL resources</w:t>
      </w:r>
      <w:r>
        <w:rPr>
          <w:lang w:val="en-GB"/>
        </w:rPr>
        <w:t>, BFR on CBRA beams,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in some cases could be detrimental to the overall performance of the UE. </w:t>
      </w:r>
    </w:p>
    <w:p w:rsidR="00200213" w:rsidRDefault="007C0F78" w:rsidP="00904938">
      <w:pPr>
        <w:rPr>
          <w:lang w:val="en-GB"/>
        </w:rPr>
      </w:pPr>
      <w:r>
        <w:rPr>
          <w:lang w:val="en-GB"/>
        </w:rPr>
        <w:t xml:space="preserve">RAN1 has previously agreed that there will be BWP(s) in NR-U and that Initial Active UL/ DL BWP will be similar to the licensed operation about 20 MHz. </w:t>
      </w:r>
    </w:p>
    <w:tbl>
      <w:tblPr>
        <w:tblStyle w:val="TableGrid"/>
        <w:tblW w:w="0" w:type="auto"/>
        <w:tblLook w:val="04A0" w:firstRow="1" w:lastRow="0" w:firstColumn="1" w:lastColumn="0" w:noHBand="0" w:noVBand="1"/>
      </w:tblPr>
      <w:tblGrid>
        <w:gridCol w:w="9533"/>
      </w:tblGrid>
      <w:tr w:rsidR="00200213" w:rsidTr="00200213">
        <w:tc>
          <w:tcPr>
            <w:tcW w:w="9533" w:type="dxa"/>
          </w:tcPr>
          <w:p w:rsidR="00200213" w:rsidRDefault="00200213" w:rsidP="00200213">
            <w:pPr>
              <w:rPr>
                <w:rFonts w:ascii="Calibri" w:hAnsi="Calibri"/>
                <w:color w:val="1F497D"/>
                <w:lang w:val="en-GB"/>
              </w:rPr>
            </w:pPr>
            <w:r>
              <w:rPr>
                <w:rFonts w:ascii="Calibri" w:hAnsi="Calibri"/>
                <w:color w:val="1F497D"/>
                <w:lang w:val="en-GB"/>
              </w:rPr>
              <w:t>RAN1#93:</w:t>
            </w:r>
          </w:p>
          <w:p w:rsidR="00200213" w:rsidRDefault="00200213" w:rsidP="00200213">
            <w:pPr>
              <w:rPr>
                <w:sz w:val="20"/>
                <w:szCs w:val="20"/>
                <w:lang w:val="en-GB"/>
              </w:rPr>
            </w:pPr>
            <w:r>
              <w:rPr>
                <w:highlight w:val="green"/>
                <w:lang w:val="en-GB"/>
              </w:rPr>
              <w:t>Agreement:</w:t>
            </w:r>
            <w:r>
              <w:rPr>
                <w:lang w:val="en-GB"/>
              </w:rPr>
              <w:t xml:space="preserve"> </w:t>
            </w:r>
          </w:p>
          <w:p w:rsidR="00200213" w:rsidRDefault="00200213" w:rsidP="00200213">
            <w:pPr>
              <w:pStyle w:val="ListParagraph"/>
              <w:spacing w:line="252" w:lineRule="auto"/>
              <w:ind w:hanging="360"/>
              <w:contextualSpacing/>
              <w:rPr>
                <w:sz w:val="20"/>
                <w:szCs w:val="20"/>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5GHz band</w:t>
            </w:r>
          </w:p>
          <w:p w:rsidR="00200213" w:rsidRDefault="00200213" w:rsidP="00200213">
            <w:pPr>
              <w:pStyle w:val="ListParagraph"/>
              <w:spacing w:line="252" w:lineRule="auto"/>
              <w:ind w:left="1440" w:hanging="360"/>
              <w:contextualSpacing/>
              <w:rPr>
                <w:lang w:val="en-GB"/>
              </w:rPr>
            </w:pPr>
            <w:r>
              <w:rPr>
                <w:rFonts w:ascii="Courier New" w:hAnsi="Courier New" w:cs="Courier New"/>
                <w:lang w:val="en-GB"/>
              </w:rPr>
              <w:t>o</w:t>
            </w:r>
            <w:r>
              <w:rPr>
                <w:rFonts w:ascii="Times New Roman" w:hAnsi="Times New Roman"/>
                <w:sz w:val="14"/>
                <w:szCs w:val="14"/>
                <w:lang w:val="en-GB"/>
              </w:rPr>
              <w:t xml:space="preserve">   </w:t>
            </w:r>
            <w:r>
              <w:rPr>
                <w:lang w:val="en-GB"/>
              </w:rPr>
              <w:t>The final value will be quantized to number of PRBs</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6GHz band if similar channelization as 5GHz band is used for 6GHz band</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FFS: Initial active DL/UL BWP for other applicable bands, including 60GHz</w:t>
            </w:r>
          </w:p>
          <w:p w:rsidR="00200213" w:rsidRDefault="00200213" w:rsidP="00200213">
            <w:pPr>
              <w:rPr>
                <w:rFonts w:ascii="Calibri" w:hAnsi="Calibri"/>
                <w:color w:val="1F497D"/>
                <w:lang w:val="en-GB"/>
              </w:rPr>
            </w:pPr>
            <w:r>
              <w:rPr>
                <w:rFonts w:ascii="Calibri" w:hAnsi="Calibri"/>
                <w:color w:val="1F497D"/>
                <w:lang w:val="en-GB"/>
              </w:rPr>
              <w:t xml:space="preserve"> </w:t>
            </w:r>
          </w:p>
          <w:p w:rsidR="00200213" w:rsidRDefault="00200213" w:rsidP="00200213">
            <w:pPr>
              <w:rPr>
                <w:rFonts w:ascii="Calibri" w:hAnsi="Calibri"/>
                <w:color w:val="1F497D"/>
                <w:lang w:val="en-GB"/>
              </w:rPr>
            </w:pPr>
            <w:r>
              <w:rPr>
                <w:rFonts w:ascii="Calibri" w:hAnsi="Calibri"/>
                <w:color w:val="1F497D"/>
                <w:lang w:val="en-GB"/>
              </w:rPr>
              <w:t>RAN1#92bis:</w:t>
            </w:r>
          </w:p>
          <w:p w:rsidR="00200213" w:rsidRDefault="00200213" w:rsidP="00200213">
            <w:pPr>
              <w:ind w:left="720" w:hanging="360"/>
              <w:rPr>
                <w:sz w:val="20"/>
                <w:szCs w:val="20"/>
              </w:rPr>
            </w:pPr>
            <w:r>
              <w:rPr>
                <w:rFonts w:ascii="Arial" w:hAnsi="Arial" w:cs="Arial"/>
                <w:sz w:val="20"/>
                <w:szCs w:val="20"/>
              </w:rPr>
              <w:t>•</w:t>
            </w:r>
            <w:r>
              <w:rPr>
                <w:sz w:val="14"/>
                <w:szCs w:val="14"/>
              </w:rPr>
              <w:t xml:space="preserve">      </w:t>
            </w:r>
            <w:r>
              <w:t xml:space="preserve">Baseline for study: If absence of Wi-Fi cannot be guaranteed (e.g. by regulation) </w:t>
            </w:r>
          </w:p>
          <w:p w:rsidR="00200213" w:rsidRDefault="00200213" w:rsidP="00200213">
            <w:pPr>
              <w:rPr>
                <w:sz w:val="24"/>
                <w:szCs w:val="24"/>
              </w:rPr>
            </w:pPr>
            <w:r>
              <w:t xml:space="preserve">in the band (sub-7 GHz) where NR-U is operating, the NR-U operating bandwidth is an integer  </w:t>
            </w:r>
          </w:p>
          <w:p w:rsidR="00200213" w:rsidRDefault="00200213" w:rsidP="00200213">
            <w:r>
              <w:t xml:space="preserve">multiple of 20MHz </w:t>
            </w:r>
          </w:p>
          <w:p w:rsidR="00200213" w:rsidRDefault="00200213" w:rsidP="00200213">
            <w:pPr>
              <w:ind w:left="720" w:hanging="360"/>
            </w:pPr>
            <w:r>
              <w:rPr>
                <w:rFonts w:ascii="Arial" w:hAnsi="Arial" w:cs="Arial"/>
              </w:rPr>
              <w:t>•</w:t>
            </w:r>
            <w:r>
              <w:rPr>
                <w:sz w:val="14"/>
                <w:szCs w:val="14"/>
              </w:rPr>
              <w:t xml:space="preserve">     </w:t>
            </w:r>
            <w:r>
              <w:t xml:space="preserve">At least for band where absence of Wi-Fi cannot be guaranteed (e.g. by regulation), LBT can be performed in units of 20 MHz. </w:t>
            </w:r>
          </w:p>
          <w:p w:rsidR="00200213" w:rsidRDefault="00200213" w:rsidP="00200213">
            <w:pPr>
              <w:ind w:left="1440" w:hanging="360"/>
            </w:pPr>
            <w:r>
              <w:rPr>
                <w:rFonts w:ascii="Arial" w:hAnsi="Arial" w:cs="Arial"/>
              </w:rPr>
              <w:t>•</w:t>
            </w:r>
            <w:r>
              <w:rPr>
                <w:sz w:val="14"/>
                <w:szCs w:val="14"/>
              </w:rPr>
              <w:t xml:space="preserve">     </w:t>
            </w:r>
            <w:r>
              <w:t>FFS: details on how to perform LBT for as single carrier with bandwidth greater than 20 MHz, i.e., integer multiples of 20 MHz.</w:t>
            </w:r>
          </w:p>
          <w:p w:rsidR="00200213" w:rsidRDefault="00200213" w:rsidP="00904938">
            <w:pPr>
              <w:rPr>
                <w:lang w:val="en-GB"/>
              </w:rPr>
            </w:pPr>
          </w:p>
        </w:tc>
      </w:tr>
    </w:tbl>
    <w:p w:rsidR="00200213" w:rsidRDefault="00200213" w:rsidP="00904938">
      <w:pPr>
        <w:rPr>
          <w:lang w:val="en-GB"/>
        </w:rPr>
      </w:pPr>
    </w:p>
    <w:p w:rsidR="00F37196" w:rsidRDefault="00850DA9" w:rsidP="00904938">
      <w:pPr>
        <w:rPr>
          <w:lang w:val="en-GB"/>
        </w:rPr>
      </w:pPr>
      <w:r>
        <w:rPr>
          <w:lang w:val="en-GB"/>
        </w:rPr>
        <w:lastRenderedPageBreak/>
        <w:t>Further, a UE may or may not have PRACH configured in the current BWP. When it needs to send PRACH (Msg1) CCA may/ may not succeed. Therefore, to increase the transmission diversity of Msg1 it is proposed that the UE performs CCA on other configured BWP(s) as well and perform Msg1 transmission on the BWP. This choice of other BWP may not be limited just to a change of BWP to Initial BWP but to also to the other configured BWP(s).</w:t>
      </w:r>
    </w:p>
    <w:p w:rsidR="00850DA9" w:rsidRPr="00B00AC9" w:rsidRDefault="00850DA9" w:rsidP="00904938">
      <w:pPr>
        <w:rPr>
          <w:b/>
          <w:lang w:val="en-GB"/>
        </w:rPr>
      </w:pPr>
      <w:r w:rsidRPr="00B00AC9">
        <w:rPr>
          <w:b/>
          <w:lang w:val="en-GB"/>
        </w:rPr>
        <w:t>Proposal 1: A UE may perform CCA/ LBT on any configured BWP.</w:t>
      </w:r>
    </w:p>
    <w:p w:rsidR="00850DA9" w:rsidRDefault="00850DA9" w:rsidP="00904938">
      <w:pPr>
        <w:rPr>
          <w:lang w:val="en-GB"/>
        </w:rPr>
      </w:pPr>
      <w:r>
        <w:rPr>
          <w:lang w:val="en-GB"/>
        </w:rPr>
        <w:t>If the CCA Succeeds for a BWP that is not the current BWP, the UE shall initiate RACH procedure there and consider this one as the current BWP and it should be left to the network to change the current BWP later.</w:t>
      </w:r>
    </w:p>
    <w:p w:rsidR="00850DA9" w:rsidRPr="00B00AC9" w:rsidRDefault="00850DA9" w:rsidP="00904938">
      <w:pPr>
        <w:rPr>
          <w:b/>
          <w:lang w:val="en-GB"/>
        </w:rPr>
      </w:pPr>
      <w:r w:rsidRPr="00B00AC9">
        <w:rPr>
          <w:b/>
          <w:lang w:val="en-GB"/>
        </w:rPr>
        <w:t>Proposal 2: UE switches to the BWP where the CCA succeeded.</w:t>
      </w:r>
    </w:p>
    <w:p w:rsidR="00F37196" w:rsidRDefault="00B00AC9" w:rsidP="00BB152E">
      <w:pPr>
        <w:pStyle w:val="Heading2"/>
        <w:rPr>
          <w:lang w:val="en-GB"/>
        </w:rPr>
      </w:pPr>
      <w:r>
        <w:rPr>
          <w:lang w:val="en-GB"/>
        </w:rPr>
        <w:t>Msg2/ RAR</w:t>
      </w:r>
    </w:p>
    <w:p w:rsidR="00B00AC9" w:rsidRPr="00BB152E" w:rsidRDefault="00BB152E" w:rsidP="00F37196">
      <w:pPr>
        <w:rPr>
          <w:lang w:val="en-GB"/>
        </w:rPr>
      </w:pPr>
      <w:r w:rsidRPr="00BB152E">
        <w:rPr>
          <w:lang w:val="en-GB"/>
        </w:rPr>
        <w:t>On similar lines it is helpful if the Msg2/ RAR could be transmitted by the gNB on any DL BWP where the CCA succeeds; however, this may go against the principle of one Active (DL/ UL) BWP in release 15 if the UE were to be prepared to monitor more than one DL BWP during a corresponding RAR window. We may however confirm this with RAN1</w:t>
      </w:r>
      <w:r w:rsidR="001053B1">
        <w:rPr>
          <w:lang w:val="en-GB"/>
        </w:rPr>
        <w:t>/ RAN4</w:t>
      </w:r>
      <w:r w:rsidRPr="00BB152E">
        <w:rPr>
          <w:lang w:val="en-GB"/>
        </w:rPr>
        <w:t xml:space="preserve"> if this is really the case.</w:t>
      </w:r>
    </w:p>
    <w:p w:rsidR="00BB152E" w:rsidRDefault="00BB152E" w:rsidP="00F37196">
      <w:pPr>
        <w:rPr>
          <w:b/>
          <w:lang w:val="en-GB"/>
        </w:rPr>
      </w:pPr>
      <w:r>
        <w:rPr>
          <w:b/>
          <w:lang w:val="en-GB"/>
        </w:rPr>
        <w:t xml:space="preserve">Proposal </w:t>
      </w:r>
      <w:r w:rsidR="00D04C1B">
        <w:rPr>
          <w:b/>
          <w:lang w:val="en-GB"/>
        </w:rPr>
        <w:t>3</w:t>
      </w:r>
      <w:r>
        <w:rPr>
          <w:b/>
          <w:lang w:val="en-GB"/>
        </w:rPr>
        <w:t>: Confirm with RAN1</w:t>
      </w:r>
      <w:r w:rsidR="001053B1">
        <w:rPr>
          <w:lang w:val="en-GB"/>
        </w:rPr>
        <w:t>/ RAN4</w:t>
      </w:r>
      <w:r>
        <w:rPr>
          <w:b/>
          <w:lang w:val="en-GB"/>
        </w:rPr>
        <w:t xml:space="preserve"> if UE can be prepared to monitor more than one DL BWP during a corresponding RAR window in release 15.</w:t>
      </w:r>
    </w:p>
    <w:p w:rsidR="006F2CD3" w:rsidRDefault="006F2CD3" w:rsidP="006F2CD3">
      <w:pPr>
        <w:pStyle w:val="Heading2"/>
        <w:rPr>
          <w:lang w:val="en-GB"/>
        </w:rPr>
      </w:pPr>
      <w:r>
        <w:rPr>
          <w:lang w:val="en-GB"/>
        </w:rPr>
        <w:t>Msg3 transmission</w:t>
      </w:r>
    </w:p>
    <w:p w:rsidR="006F2CD3" w:rsidRDefault="006F2CD3" w:rsidP="006F2CD3">
      <w:pPr>
        <w:rPr>
          <w:lang w:val="en-GB"/>
        </w:rPr>
      </w:pPr>
      <w:r>
        <w:rPr>
          <w:lang w:val="en-GB"/>
        </w:rPr>
        <w:t>To have diversity in transmitting Msg3, the RAR Msg2 may include UL resources for Msg3 transmission on more than 1 BWP. The UE can then perform LBT/ CCA on each of these and transmit Msg3 on a BWP where the CCA is successful.</w:t>
      </w:r>
    </w:p>
    <w:p w:rsidR="00920182" w:rsidRDefault="00920182" w:rsidP="006F2CD3">
      <w:pPr>
        <w:rPr>
          <w:b/>
          <w:lang w:val="en-GB"/>
        </w:rPr>
      </w:pPr>
      <w:r w:rsidRPr="00920182">
        <w:rPr>
          <w:b/>
          <w:lang w:val="en-GB"/>
        </w:rPr>
        <w:t xml:space="preserve">Proposal </w:t>
      </w:r>
      <w:r w:rsidR="00D04C1B">
        <w:rPr>
          <w:b/>
          <w:lang w:val="en-GB"/>
        </w:rPr>
        <w:t>4</w:t>
      </w:r>
      <w:r w:rsidRPr="00920182">
        <w:rPr>
          <w:b/>
          <w:lang w:val="en-GB"/>
        </w:rPr>
        <w:t>: RAR may include separate UL grant one each on a different UL BWP.</w:t>
      </w:r>
    </w:p>
    <w:p w:rsidR="00920182" w:rsidRDefault="00920182" w:rsidP="006F2CD3">
      <w:pPr>
        <w:rPr>
          <w:b/>
          <w:lang w:val="en-GB"/>
        </w:rPr>
      </w:pPr>
    </w:p>
    <w:p w:rsidR="00920182" w:rsidRDefault="00920182" w:rsidP="00920182">
      <w:pPr>
        <w:pStyle w:val="Heading2"/>
        <w:rPr>
          <w:lang w:val="en-GB"/>
        </w:rPr>
      </w:pPr>
      <w:r>
        <w:rPr>
          <w:lang w:val="en-GB"/>
        </w:rPr>
        <w:t>Questions to RAN1</w:t>
      </w:r>
    </w:p>
    <w:p w:rsidR="00920182" w:rsidRDefault="00920182" w:rsidP="00920182">
      <w:pPr>
        <w:rPr>
          <w:lang w:val="en-GB"/>
        </w:rPr>
      </w:pPr>
      <w:r>
        <w:rPr>
          <w:lang w:val="en-GB"/>
        </w:rPr>
        <w:t>We need however confirmation from RAN1 though that performing LBT/ CCA operation on more than one BWP is not violating the one active UL/ DL BWP principle in Rel. 15. Also, we need specific clarification on Proposal 2 above.</w:t>
      </w:r>
    </w:p>
    <w:p w:rsidR="00920182" w:rsidRPr="00920182" w:rsidRDefault="00920182" w:rsidP="00920182">
      <w:pPr>
        <w:rPr>
          <w:b/>
          <w:lang w:val="en-GB"/>
        </w:rPr>
      </w:pPr>
      <w:r w:rsidRPr="00920182">
        <w:rPr>
          <w:b/>
          <w:lang w:val="en-GB"/>
        </w:rPr>
        <w:t xml:space="preserve">Proposal </w:t>
      </w:r>
      <w:r w:rsidR="00D04C1B">
        <w:rPr>
          <w:b/>
          <w:lang w:val="en-GB"/>
        </w:rPr>
        <w:t>5</w:t>
      </w:r>
      <w:r w:rsidRPr="00920182">
        <w:rPr>
          <w:b/>
          <w:lang w:val="en-GB"/>
        </w:rPr>
        <w:t>: Check for confirmation from RAN1</w:t>
      </w:r>
      <w:r w:rsidR="001053B1">
        <w:rPr>
          <w:b/>
          <w:lang w:val="en-GB"/>
        </w:rPr>
        <w:t xml:space="preserve">/ </w:t>
      </w:r>
      <w:r w:rsidR="001053B1" w:rsidRPr="001053B1">
        <w:rPr>
          <w:b/>
          <w:lang w:val="en-GB"/>
        </w:rPr>
        <w:t>RAN4</w:t>
      </w:r>
      <w:r w:rsidRPr="00920182">
        <w:rPr>
          <w:b/>
          <w:lang w:val="en-GB"/>
        </w:rPr>
        <w:t xml:space="preserve"> that performing LBT/ CCA operation on more than one BWP will not be violating the one active UL/ DL BWP principle in Rel. 15. Also, UE can be prepared to monitor more than one DL BWP during a corresponding RAR window in release 15.</w:t>
      </w:r>
    </w:p>
    <w:p w:rsidR="00920182" w:rsidRPr="00920182" w:rsidRDefault="00920182" w:rsidP="00920182">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305664">
      <w:pPr>
        <w:rPr>
          <w:lang w:val="en-GB" w:eastAsia="zh-CN"/>
        </w:rPr>
      </w:pPr>
      <w:r>
        <w:rPr>
          <w:b/>
          <w:lang w:val="en-GB"/>
        </w:rPr>
        <w:t xml:space="preserve">This document </w:t>
      </w:r>
      <w:r>
        <w:rPr>
          <w:lang w:val="en-GB" w:eastAsia="zh-CN"/>
        </w:rPr>
        <w:t>discussed d</w:t>
      </w:r>
      <w:r w:rsidRPr="003F3A48">
        <w:rPr>
          <w:lang w:val="en-GB" w:eastAsia="zh-CN"/>
        </w:rPr>
        <w:t>iversity in RACH transmissions</w:t>
      </w:r>
      <w:r>
        <w:rPr>
          <w:lang w:val="en-GB" w:eastAsia="zh-CN"/>
        </w:rPr>
        <w:t xml:space="preserve"> motivated by the opportunistic channel access characteristic of an unlicensed carrier</w:t>
      </w:r>
      <w:r w:rsidRPr="0000101E">
        <w:rPr>
          <w:lang w:val="en-GB" w:eastAsia="zh-CN"/>
        </w:rPr>
        <w:t>.</w:t>
      </w:r>
      <w:r>
        <w:rPr>
          <w:lang w:val="en-GB" w:eastAsia="zh-CN"/>
        </w:rPr>
        <w:t xml:space="preserve"> Following proposals are made:</w:t>
      </w:r>
    </w:p>
    <w:p w:rsidR="00D04C1B" w:rsidRPr="00B00AC9" w:rsidRDefault="00D04C1B" w:rsidP="00D04C1B">
      <w:pPr>
        <w:rPr>
          <w:b/>
          <w:lang w:val="en-GB"/>
        </w:rPr>
      </w:pPr>
      <w:r w:rsidRPr="00B00AC9">
        <w:rPr>
          <w:b/>
          <w:lang w:val="en-GB"/>
        </w:rPr>
        <w:t>Proposal 1: A UE may perform CCA/ LBT on any configured BWP.</w:t>
      </w:r>
    </w:p>
    <w:p w:rsidR="00D04C1B" w:rsidRPr="00B00AC9" w:rsidRDefault="00D04C1B" w:rsidP="00D04C1B">
      <w:pPr>
        <w:rPr>
          <w:b/>
          <w:lang w:val="en-GB"/>
        </w:rPr>
      </w:pPr>
      <w:r w:rsidRPr="00B00AC9">
        <w:rPr>
          <w:b/>
          <w:lang w:val="en-GB"/>
        </w:rPr>
        <w:t>Proposal 2: UE switches to the BWP where the CCA succeeded.</w:t>
      </w:r>
    </w:p>
    <w:p w:rsidR="00D04C1B" w:rsidRDefault="00D04C1B" w:rsidP="00D04C1B">
      <w:pPr>
        <w:rPr>
          <w:b/>
          <w:lang w:val="en-GB"/>
        </w:rPr>
      </w:pPr>
      <w:r>
        <w:rPr>
          <w:b/>
          <w:lang w:val="en-GB"/>
        </w:rPr>
        <w:t>Proposal 3: Confirm with RAN1</w:t>
      </w:r>
      <w:r>
        <w:rPr>
          <w:lang w:val="en-GB"/>
        </w:rPr>
        <w:t>/ RAN4</w:t>
      </w:r>
      <w:r>
        <w:rPr>
          <w:b/>
          <w:lang w:val="en-GB"/>
        </w:rPr>
        <w:t xml:space="preserve"> if UE can be prepared to monitor more than one DL BWP during a corresponding RAR window in release 15.</w:t>
      </w:r>
    </w:p>
    <w:p w:rsidR="00D04C1B" w:rsidRDefault="00D04C1B" w:rsidP="00D04C1B">
      <w:pPr>
        <w:rPr>
          <w:b/>
          <w:lang w:val="en-GB"/>
        </w:rPr>
      </w:pPr>
      <w:r w:rsidRPr="00920182">
        <w:rPr>
          <w:b/>
          <w:lang w:val="en-GB"/>
        </w:rPr>
        <w:t xml:space="preserve">Proposal </w:t>
      </w:r>
      <w:r>
        <w:rPr>
          <w:b/>
          <w:lang w:val="en-GB"/>
        </w:rPr>
        <w:t>4</w:t>
      </w:r>
      <w:r w:rsidRPr="00920182">
        <w:rPr>
          <w:b/>
          <w:lang w:val="en-GB"/>
        </w:rPr>
        <w:t>: RAR may include separate UL grant one each on a different UL BWP.</w:t>
      </w:r>
    </w:p>
    <w:p w:rsidR="001643EF" w:rsidRPr="00CB61D7" w:rsidRDefault="00D04C1B" w:rsidP="00305664">
      <w:pPr>
        <w:rPr>
          <w:b/>
          <w:lang w:val="en-GB"/>
        </w:rPr>
      </w:pPr>
      <w:r w:rsidRPr="00920182">
        <w:rPr>
          <w:b/>
          <w:lang w:val="en-GB"/>
        </w:rPr>
        <w:lastRenderedPageBreak/>
        <w:t xml:space="preserve">Proposal </w:t>
      </w:r>
      <w:r>
        <w:rPr>
          <w:b/>
          <w:lang w:val="en-GB"/>
        </w:rPr>
        <w:t>5</w:t>
      </w:r>
      <w:r w:rsidRPr="00920182">
        <w:rPr>
          <w:b/>
          <w:lang w:val="en-GB"/>
        </w:rPr>
        <w:t>: Check for confirmation from RAN1</w:t>
      </w:r>
      <w:r>
        <w:rPr>
          <w:b/>
          <w:lang w:val="en-GB"/>
        </w:rPr>
        <w:t xml:space="preserve">/ </w:t>
      </w:r>
      <w:r w:rsidRPr="001053B1">
        <w:rPr>
          <w:b/>
          <w:lang w:val="en-GB"/>
        </w:rPr>
        <w:t>RAN4</w:t>
      </w:r>
      <w:r w:rsidRPr="00920182">
        <w:rPr>
          <w:b/>
          <w:lang w:val="en-GB"/>
        </w:rPr>
        <w:t xml:space="preserve"> that performing LBT/ CCA operation on more than one BWP will not be violating the one active UL/ DL BWP principle in Rel. 15. Also, UE can be prepared to monitor more than one DL BWP during a corresponding RAR window in release 15.</w:t>
      </w:r>
    </w:p>
    <w:sectPr w:rsidR="001643EF"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298" w:rsidRDefault="00983298">
      <w:r>
        <w:separator/>
      </w:r>
    </w:p>
  </w:endnote>
  <w:endnote w:type="continuationSeparator" w:id="0">
    <w:p w:rsidR="00983298" w:rsidRDefault="00983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298" w:rsidRDefault="00983298">
      <w:r>
        <w:separator/>
      </w:r>
    </w:p>
  </w:footnote>
  <w:footnote w:type="continuationSeparator" w:id="0">
    <w:p w:rsidR="00983298" w:rsidRDefault="009832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8">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5"/>
  </w:num>
  <w:num w:numId="3">
    <w:abstractNumId w:val="20"/>
  </w:num>
  <w:num w:numId="4">
    <w:abstractNumId w:val="15"/>
  </w:num>
  <w:num w:numId="5">
    <w:abstractNumId w:val="12"/>
  </w:num>
  <w:num w:numId="6">
    <w:abstractNumId w:val="26"/>
  </w:num>
  <w:num w:numId="7">
    <w:abstractNumId w:val="13"/>
  </w:num>
  <w:num w:numId="8">
    <w:abstractNumId w:val="11"/>
  </w:num>
  <w:num w:numId="9">
    <w:abstractNumId w:val="23"/>
  </w:num>
  <w:num w:numId="10">
    <w:abstractNumId w:val="10"/>
  </w:num>
  <w:num w:numId="11">
    <w:abstractNumId w:val="2"/>
  </w:num>
  <w:num w:numId="12">
    <w:abstractNumId w:val="22"/>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6"/>
  </w:num>
  <w:num w:numId="20">
    <w:abstractNumId w:val="18"/>
  </w:num>
  <w:num w:numId="21">
    <w:abstractNumId w:val="8"/>
  </w:num>
  <w:num w:numId="22">
    <w:abstractNumId w:val="17"/>
  </w:num>
  <w:num w:numId="23">
    <w:abstractNumId w:val="0"/>
  </w:num>
  <w:num w:numId="24">
    <w:abstractNumId w:val="7"/>
  </w:num>
  <w:num w:numId="25">
    <w:abstractNumId w:val="21"/>
  </w:num>
  <w:num w:numId="26">
    <w:abstractNumId w:val="19"/>
  </w:num>
  <w:num w:numId="27">
    <w:abstractNumId w:val="5"/>
  </w:num>
  <w:num w:numId="28">
    <w:abstractNumId w:val="4"/>
  </w:num>
  <w:num w:numId="29">
    <w:abstractNumId w:val="3"/>
  </w:num>
  <w:num w:numId="30">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298"/>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6C7148-9336-4667-B61A-E7EF2E6C7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cp:lastModifiedBy>
  <cp:revision>18</cp:revision>
  <cp:lastPrinted>2016-08-12T06:06:00Z</cp:lastPrinted>
  <dcterms:created xsi:type="dcterms:W3CDTF">2018-08-07T14:52:00Z</dcterms:created>
  <dcterms:modified xsi:type="dcterms:W3CDTF">2018-09-27T15:14:00Z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